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color w:val="ff0000"/>
          <w:sz w:val="36"/>
          <w:szCs w:val="36"/>
        </w:rPr>
      </w:pPr>
      <w:r w:rsidDel="00000000" w:rsidR="00000000" w:rsidRPr="00000000">
        <w:rPr>
          <w:b w:val="1"/>
          <w:color w:val="ff0000"/>
          <w:sz w:val="36"/>
          <w:szCs w:val="36"/>
          <w:rtl w:val="0"/>
        </w:rPr>
        <w:t xml:space="preserve">De crisiskaart</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u w:val="single"/>
        </w:rPr>
      </w:pPr>
      <w:r w:rsidDel="00000000" w:rsidR="00000000" w:rsidRPr="00000000">
        <w:rPr>
          <w:u w:val="single"/>
          <w:rtl w:val="0"/>
        </w:rPr>
        <w:t xml:space="preserve">Wat is een crisiskaart?</w:t>
      </w:r>
    </w:p>
    <w:p w:rsidR="00000000" w:rsidDel="00000000" w:rsidP="00000000" w:rsidRDefault="00000000" w:rsidRPr="00000000" w14:paraId="00000004">
      <w:pPr>
        <w:pageBreakBefore w:val="0"/>
        <w:rPr/>
      </w:pPr>
      <w:r w:rsidDel="00000000" w:rsidR="00000000" w:rsidRPr="00000000">
        <w:rPr>
          <w:rtl w:val="0"/>
        </w:rPr>
        <w:t xml:space="preserve">De crisiskaart is een vouwkaart waarop de eigenaar van de kaart aangeeft wat omstaanders kunnen doen bij een psychische crisis: </w:t>
      </w:r>
    </w:p>
    <w:p w:rsidR="00000000" w:rsidDel="00000000" w:rsidP="00000000" w:rsidRDefault="00000000" w:rsidRPr="00000000" w14:paraId="00000005">
      <w:pPr>
        <w:pageBreakBefore w:val="0"/>
        <w:numPr>
          <w:ilvl w:val="0"/>
          <w:numId w:val="1"/>
        </w:numPr>
        <w:ind w:left="720" w:hanging="360"/>
        <w:rPr>
          <w:u w:val="none"/>
        </w:rPr>
      </w:pPr>
      <w:r w:rsidDel="00000000" w:rsidR="00000000" w:rsidRPr="00000000">
        <w:rPr>
          <w:rtl w:val="0"/>
        </w:rPr>
        <w:t xml:space="preserve">Hoe contact maken, </w:t>
      </w:r>
    </w:p>
    <w:p w:rsidR="00000000" w:rsidDel="00000000" w:rsidP="00000000" w:rsidRDefault="00000000" w:rsidRPr="00000000" w14:paraId="00000006">
      <w:pPr>
        <w:pageBreakBefore w:val="0"/>
        <w:numPr>
          <w:ilvl w:val="0"/>
          <w:numId w:val="1"/>
        </w:numPr>
        <w:ind w:left="720" w:hanging="360"/>
        <w:rPr>
          <w:u w:val="none"/>
        </w:rPr>
      </w:pPr>
      <w:r w:rsidDel="00000000" w:rsidR="00000000" w:rsidRPr="00000000">
        <w:rPr>
          <w:rtl w:val="0"/>
        </w:rPr>
        <w:t xml:space="preserve">wie bellen, </w:t>
      </w:r>
    </w:p>
    <w:p w:rsidR="00000000" w:rsidDel="00000000" w:rsidP="00000000" w:rsidRDefault="00000000" w:rsidRPr="00000000" w14:paraId="00000007">
      <w:pPr>
        <w:pageBreakBefore w:val="0"/>
        <w:numPr>
          <w:ilvl w:val="0"/>
          <w:numId w:val="1"/>
        </w:numPr>
        <w:ind w:left="720" w:hanging="360"/>
        <w:rPr>
          <w:u w:val="none"/>
        </w:rPr>
      </w:pPr>
      <w:r w:rsidDel="00000000" w:rsidR="00000000" w:rsidRPr="00000000">
        <w:rPr>
          <w:rtl w:val="0"/>
        </w:rPr>
        <w:t xml:space="preserve">wat wel/niet doen.</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u w:val="single"/>
        </w:rPr>
      </w:pPr>
      <w:r w:rsidDel="00000000" w:rsidR="00000000" w:rsidRPr="00000000">
        <w:rPr>
          <w:u w:val="single"/>
          <w:rtl w:val="0"/>
        </w:rPr>
        <w:t xml:space="preserve">Hoe gebruik je de crisiskaart?</w:t>
      </w:r>
    </w:p>
    <w:p w:rsidR="00000000" w:rsidDel="00000000" w:rsidP="00000000" w:rsidRDefault="00000000" w:rsidRPr="00000000" w14:paraId="0000000A">
      <w:pPr>
        <w:pageBreakBefore w:val="0"/>
        <w:rPr/>
      </w:pPr>
      <w:r w:rsidDel="00000000" w:rsidR="00000000" w:rsidRPr="00000000">
        <w:rPr>
          <w:rtl w:val="0"/>
        </w:rPr>
        <w:t xml:space="preserve">De crisiskaart is een plooikaart die in de portefeuille van de cliënt past en overal meegaat. Ze is makkelijk vindbaar én herkenbaar voor mensen die hulp bieden. De hoofdbehandelaar (en eventueel vertrouwenspersoon) krijgt een kopie. De kaart wordt uitgewerkt bij aanvang van een opname of begeleiding (in de GGZ, bij de huisarts, CAW...) samen met de hulpverlener door de patiënt op vrijwillige basis.</w:t>
      </w:r>
    </w:p>
    <w:p w:rsidR="00000000" w:rsidDel="00000000" w:rsidP="00000000" w:rsidRDefault="00000000" w:rsidRPr="00000000" w14:paraId="0000000B">
      <w:pPr>
        <w:pageBreakBefore w:val="0"/>
        <w:rPr/>
      </w:pPr>
      <w:r w:rsidDel="00000000" w:rsidR="00000000" w:rsidRPr="00000000">
        <w:rPr>
          <w:rtl w:val="0"/>
        </w:rPr>
        <w:t xml:space="preserve">Bij de crisiskaart hoort een uitgebreider crisisplan, dat eerst opgemaakt wordt SAMEN met of door de patiënt/cliënt en dan samengevat wordt op de crisiskaart.</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u w:val="single"/>
        </w:rPr>
      </w:pPr>
      <w:r w:rsidDel="00000000" w:rsidR="00000000" w:rsidRPr="00000000">
        <w:rPr>
          <w:u w:val="single"/>
          <w:rtl w:val="0"/>
        </w:rPr>
        <w:t xml:space="preserve">Waarom de crisiskaart invullen ?</w:t>
      </w:r>
    </w:p>
    <w:p w:rsidR="00000000" w:rsidDel="00000000" w:rsidP="00000000" w:rsidRDefault="00000000" w:rsidRPr="00000000" w14:paraId="0000000E">
      <w:pPr>
        <w:pageBreakBefore w:val="0"/>
        <w:rPr/>
      </w:pPr>
      <w:r w:rsidDel="00000000" w:rsidR="00000000" w:rsidRPr="00000000">
        <w:rPr>
          <w:rtl w:val="0"/>
        </w:rPr>
        <w:t xml:space="preserve">De crisiskaart leidt tot belangrijke voordelen voor de cliënt die de regie houdt op wat er gebeurt, maar ook de ggz zorgverstrekker beschrijft een belangrijke meerwaarde: De crisiskaart geeft een goede houvast aan omstaanders in crisistijden, maar gebruik van de crisiskaart leidt ook tot minder gedwongen opnames, hogere kwaliteit van zorg en efficiëntere hulp.</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